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7"/>
        <w:numPr>
          <w:ilvl w:val="0"/>
          <w:numId w:val="0"/>
        </w:numPr>
        <w:jc w:val="left"/>
        <w:spacing w:lineRule="atLeast" w:line="600" w:before="280" w:beforeAutospacing="1" w:afterAutospacing="1" w:after="280"/>
        <w:ind w:right="0" w:firstLine="0"/>
        <w:rPr>
          <w:b w:val="1"/>
          <w:color w:val="000000"/>
          <w:position w:val="0"/>
          <w:sz w:val="24"/>
          <w:szCs w:val="24"/>
          <w:rFonts w:ascii="仿宋" w:eastAsia="Times New Roman" w:hAnsi="Times New Roman" w:hint="default"/>
        </w:rPr>
        <w:outlineLvl w:val="0"/>
        <w:autoSpaceDE w:val="1"/>
        <w:autoSpaceDN w:val="1"/>
      </w:pPr>
      <w:r>
        <w:rPr>
          <w:b w:val="1"/>
          <w:color w:val="000000"/>
          <w:position w:val="0"/>
          <w:sz w:val="24"/>
          <w:szCs w:val="24"/>
          <w:rFonts w:ascii="仿宋" w:eastAsia="仿宋" w:hAnsi="仿宋" w:hint="default"/>
        </w:rPr>
        <w:t>烟台大学文经学院2018年“创青春”全国大学生创业大赛推报答辩工作通知</w:t>
      </w:r>
    </w:p>
    <w:p>
      <w:pPr>
        <w:numPr>
          <w:ilvl w:val="0"/>
          <w:numId w:val="0"/>
        </w:numPr>
        <w:jc w:val="left"/>
        <w:spacing w:lineRule="atLeast" w:line="432" w:before="0" w:after="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各系团总支：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 xml:space="preserve"> 2018年烟台大学文经学院“创青春”·全国大学生创业大赛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院级推报及答辩工作将于近期举办，具体通知如下：</w:t>
      </w:r>
    </w:p>
    <w:p>
      <w:pPr>
        <w:numPr>
          <w:ilvl w:val="0"/>
          <w:numId w:val="0"/>
        </w:numPr>
        <w:jc w:val="both"/>
        <w:spacing w:lineRule="atLeast" w:line="432" w:before="157" w:after="63"/>
        <w:ind w:right="0" w:firstLine="0"/>
        <w:rPr>
          <w:spacing w:val="0"/>
          <w:b w:val="1"/>
          <w:color w:val="555555"/>
          <w:position w:val="0"/>
          <w:sz w:val="28"/>
          <w:szCs w:val="28"/>
          <w:smallCaps w:val="0"/>
          <w:rFonts w:ascii="仿宋" w:eastAsia="仿宋" w:hAnsi="仿宋" w:hint="default"/>
        </w:rPr>
        <w:autoSpaceDE w:val="1"/>
        <w:autoSpaceDN w:val="1"/>
      </w:pPr>
      <w:r>
        <w:rPr>
          <w:spacing w:val="0"/>
          <w:b w:val="1"/>
          <w:color w:val="555555"/>
          <w:position w:val="0"/>
          <w:sz w:val="28"/>
          <w:szCs w:val="28"/>
          <w:smallCaps w:val="0"/>
          <w:rFonts w:ascii="仿宋" w:eastAsia="仿宋" w:hAnsi="仿宋" w:hint="default"/>
        </w:rPr>
        <w:t>一、作品申报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参与项目：各参赛作品须在3月25日（周日）前完成竞赛作品的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最终修改完善，逾期将取消比赛资格。</w:t>
      </w:r>
    </w:p>
    <w:p>
      <w:pPr>
        <w:numPr>
          <w:ilvl w:val="0"/>
          <w:numId w:val="0"/>
        </w:numPr>
        <w:jc w:val="both"/>
        <w:spacing w:lineRule="atLeast" w:line="432" w:before="157" w:after="63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555555"/>
          <w:position w:val="0"/>
          <w:sz w:val="28"/>
          <w:szCs w:val="28"/>
          <w:u w:val="none"/>
          <w:smallCaps w:val="0"/>
          <w:rFonts w:ascii="仿宋" w:eastAsia="仿宋" w:hAnsi="仿宋" w:hint="default"/>
        </w:rPr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555555"/>
          <w:position w:val="0"/>
          <w:sz w:val="28"/>
          <w:szCs w:val="28"/>
          <w:u w:val="none"/>
          <w:smallCaps w:val="0"/>
          <w:rFonts w:ascii="仿宋" w:eastAsia="仿宋" w:hAnsi="仿宋" w:hint="default"/>
        </w:rPr>
        <w:t>二、评审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（一）评审流程：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1、确定终审答辩项目：依据各系团总支的评审结果以及名次，确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定出部分决赛项目进入终审答辩。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2、院级奖项：根据各团队答辩及参赛情况评选出部分院级奖项。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3、推报省赛：院团委会将院级答辩优秀项目择优推报省赛。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（二）决赛评分标准：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依据《“创青春”全国大学生创业大赛章程》，本次决赛的三项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主体赛事评审打分采用百分制，由网络评审和现场答辩两项分数组成。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创业计划竞赛：各系团总支评审得分占40%、现场答辩得分占60%。已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创业项目由评委会视实际运营情况，在其实得总分基础上给予1%至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5%的加分。创业实践挑战赛：各系团总支评审得分占20%、现场答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辩得分占80%。公益创业赛：各系团总支评审得分占40%、现场答辩得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分占60%。</w:t>
      </w:r>
    </w:p>
    <w:p>
      <w:pPr>
        <w:numPr>
          <w:ilvl w:val="0"/>
          <w:numId w:val="0"/>
        </w:numPr>
        <w:jc w:val="both"/>
        <w:spacing w:lineRule="atLeast" w:line="432" w:before="157" w:after="63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555555"/>
          <w:position w:val="0"/>
          <w:sz w:val="28"/>
          <w:szCs w:val="28"/>
          <w:u w:val="none"/>
          <w:smallCaps w:val="0"/>
          <w:rFonts w:ascii="仿宋" w:eastAsia="仿宋" w:hAnsi="仿宋" w:hint="default"/>
        </w:rPr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555555"/>
          <w:position w:val="0"/>
          <w:sz w:val="28"/>
          <w:szCs w:val="28"/>
          <w:u w:val="none"/>
          <w:smallCaps w:val="0"/>
          <w:rFonts w:ascii="仿宋" w:eastAsia="仿宋" w:hAnsi="仿宋" w:hint="default"/>
        </w:rPr>
        <w:t>三、终审答辩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（一）答辩重点要求：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555555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答辩内容须重点注意陈述环节、答辩环节和团队表现三大方面。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具体项目要求详见下表：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7890" w:type="dxa"/>
        <w:tblInd w:w="-13" w:type="dxa"/>
        <w:tblLook w:val="0000A0" w:firstRow="1" w:lastRow="0" w:firstColumn="1" w:lastColumn="0" w:noHBand="0" w:noVBand="0"/>
        <w:tblLayout w:type="fixed"/>
      </w:tblPr>
      <w:tblGrid>
        <w:gridCol w:w="2760"/>
        <w:gridCol w:w="5130"/>
      </w:tblGrid>
      <w:tr>
        <w:trPr>
          <w:trHeight w:hRule="atleast" w:val="512"/>
          <w:hidden w:val="0"/>
        </w:trPr>
        <w:tc>
          <w:tcPr>
            <w:tcW w:type="dxa" w:w="276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环节</w:t>
            </w:r>
          </w:p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项目</w:t>
            </w:r>
          </w:p>
        </w:tc>
      </w:tr>
      <w:tr>
        <w:trPr>
          <w:hidden w:val="0"/>
        </w:trPr>
        <w:tc>
          <w:tcPr>
            <w:tcW w:type="dxa" w:w="276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vMerge w:val="restart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陈述环节</w:t>
            </w:r>
          </w:p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产品/服务介绍和市场分析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公司战略及营销战略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团队能力和经营管理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企业经济/财务状况</w:t>
            </w:r>
            <w:r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t> 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融资方案和回报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关键的风险及问题的分析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陈述时间控制</w:t>
            </w:r>
          </w:p>
        </w:tc>
      </w:tr>
      <w:tr>
        <w:trPr>
          <w:hidden w:val="0"/>
        </w:trPr>
        <w:tc>
          <w:tcPr>
            <w:tcW w:type="dxa" w:w="276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vMerge w:val="restart"/>
            <w:tcBorders>
              <w:bottom w:val="single" w:color="auto" w:sz="4"/>
              <w:left w:val="single" w:color="auto" w:sz="8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答辩环节</w:t>
            </w:r>
          </w:p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正确理解评委问题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4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及时流畅地回答问题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4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回答准确可信</w:t>
            </w:r>
          </w:p>
        </w:tc>
      </w:tr>
      <w:tr>
        <w:trPr>
          <w:trHeight w:hRule="atleast" w:val="824"/>
          <w:hidden w:val="0"/>
        </w:trPr>
        <w:tc>
          <w:tcPr>
            <w:tcW w:type="dxa" w:w="276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并对评委感兴趣的问题能作充分的阐述</w:t>
            </w:r>
          </w:p>
        </w:tc>
      </w:tr>
      <w:tr>
        <w:trPr>
          <w:hidden w:val="0"/>
        </w:trPr>
        <w:tc>
          <w:tcPr>
            <w:tcW w:type="dxa" w:w="276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vMerge w:val="restart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团队表现</w:t>
            </w:r>
          </w:p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整体答辩逻辑严谨且思路清晰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团队成员协作完成</w:t>
            </w:r>
          </w:p>
        </w:tc>
      </w:tr>
      <w:tr>
        <w:trPr>
          <w:hidden w:val="0"/>
        </w:trPr>
        <w:tc>
          <w:tcPr>
            <w:tcW w:type="dxa" w:w="2760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</w:tcPr>
          <w:p/>
        </w:tc>
        <w:tc>
          <w:tcPr>
            <w:tcW w:type="dxa" w:w="5130"/>
            <w:tcMar>
              <w:left w:w="108" w:type="dxa"/>
              <w:right w:w="108" w:type="dxa"/>
              <w:top w:w="0" w:type="dxa"/>
              <w:bottom w:w="0" w:type="dxa"/>
            </w:tcMar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00" w:after="10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在规定时间内完成</w:t>
            </w:r>
          </w:p>
        </w:tc>
      </w:tr>
    </w:tbl>
    <w:p>
      <w:pPr>
        <w:numPr>
          <w:ilvl w:val="0"/>
          <w:numId w:val="0"/>
        </w:numPr>
        <w:jc w:val="left"/>
        <w:spacing w:lineRule="atLeast" w:line="432" w:before="100" w:after="10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（二）答辩具体要求：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1、答辩时间：4月初（具体时间另行通知）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2、答辩时限：每个项目限时5分钟，评委问辩环节限时3分钟。提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倡项目展示形式多样（PPT、视频、实物等）。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3、答辩顺序：确定终审答辩项目名单后，答辩前抽签决定顺序。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4、答辩形式：形式自定，采取一名成员主答辩、其他成员辅助的形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式或多名成员分工答辩等形式皆可。每个项目团队最多限3名成员进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入答辩现场。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5、其他具体未尽事宜，院团委将提前通过网站公告和群通知等途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径及时进行公布。</w:t>
      </w:r>
    </w:p>
    <w:p>
      <w:pPr>
        <w:numPr>
          <w:ilvl w:val="0"/>
          <w:numId w:val="0"/>
        </w:numPr>
        <w:jc w:val="both"/>
        <w:spacing w:lineRule="atLeast" w:line="432" w:before="0" w:after="0"/>
        <w:ind w:right="0" w:firstLine="560"/>
        <w:rPr>
          <w:color w:val="555555"/>
          <w:position w:val="0"/>
          <w:sz w:val="28"/>
          <w:szCs w:val="28"/>
          <w:rFonts w:ascii="仿宋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Times New Roman" w:hAnsi="Times New Roman" w:hint="default"/>
        </w:rPr>
        <w:t> 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联系人：徐楠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555555"/>
          <w:position w:val="0"/>
          <w:sz w:val="28"/>
          <w:szCs w:val="28"/>
          <w:rFonts w:ascii="仿宋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 xml:space="preserve">      联系电话：（0535）6915043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555555"/>
          <w:position w:val="0"/>
          <w:sz w:val="28"/>
          <w:szCs w:val="28"/>
          <w:rFonts w:ascii="仿宋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 xml:space="preserve">                   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5320" w:hanging="5320"/>
        <w:rPr>
          <w:color w:val="555555"/>
          <w:position w:val="0"/>
          <w:sz w:val="28"/>
          <w:szCs w:val="28"/>
          <w:rFonts w:ascii="仿宋" w:eastAsia="Times New Roman" w:hAnsi="Times New Roman" w:hint="default"/>
        </w:rPr>
        <w:autoSpaceDE w:val="1"/>
        <w:autoSpaceDN w:val="1"/>
      </w:pP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 xml:space="preserve">                               共青团烟台大学文经学院委员会                                                          </w:t>
      </w:r>
      <w:r>
        <w:rPr>
          <w:color w:val="555555"/>
          <w:position w:val="0"/>
          <w:sz w:val="28"/>
          <w:szCs w:val="28"/>
          <w:rFonts w:ascii="仿宋" w:eastAsia="仿宋" w:hAnsi="仿宋" w:hint="default"/>
        </w:rPr>
        <w:t>2018年3月16日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??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51"/>
    <w:qFormat/>
    <w:uiPriority w:val="7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48"/>
      <w:szCs w:val="4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eading 1 Char"/>
    <w:basedOn w:val="PO2"/>
    <w:link w:val="PO7"/>
    <w:uiPriority w:val="151"/>
    <w:rPr>
      <w:rFonts w:ascii="Calibri" w:eastAsia="Calibri" w:hAnsi="Calibri"/>
      <w:b/>
      <w:shd w:val="clear"/>
      <w:sz w:val="44"/>
      <w:szCs w:val="44"/>
      <w:w w:val="100"/>
    </w:rPr>
  </w:style>
  <w:style w:styleId="PO152" w:type="character">
    <w:name w:val="Hyperlink"/>
    <w:basedOn w:val="PO2"/>
    <w:uiPriority w:val="152"/>
    <w:rPr>
      <w:color w:val="0000FF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0</Lines>
  <LinksUpToDate>false</LinksUpToDate>
  <Pages>3</Pages>
  <Paragraphs>0</Paragraphs>
  <Words>162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2018-02-03T01:22:00Z</dcterms:modified>
</cp:coreProperties>
</file>